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Grading Criteria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Patient Centered Care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Introduce yourself to the patient and wear gloves.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 the patient of cold gel before application.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Warn the patient of pressure when applying the probe for cardiac ultrasound.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Image Acquisition - [image modality / procedure]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Probe selection - curvilinear probe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Depth - depth visualizes the full kidney with a maximum of 2cm wasted depth beyond the far wall of the kidney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Gain - Gain is set so the renal cortex is dark (hypoechoic) and the renal pelvis is bright (hyperechoic), if the collecting system is visible it should be black (anechoic).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Quality - The kidney should be fully visible with no shadowing from the ribs.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Image Interpretation - [image modality / procedure]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Anatomy - Appropriately identifies the kidney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Anatomy - Appropriately identifies the spleen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Anatomy - Appropriately identifies renal cortex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Anatomy - Appropriately identifies renal pelvis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Advanced Anatomy - Appropriately identifies the abdominal wall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Advanced Anatomy - Appropriately identifies posterior acoustic shadowing from ribs (if present)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Application - Appropriately identifies hydronephrosis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Application - Appropriately suggests cross sectional imaging and/or urology consultation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Application - Appropriately administers IV antibiotics in this patient with concerning vitals for sepsis related to an infected and obstructed kidney stone (ureterolithiasis).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uqODN3LjicdZwruVnuPVbLn8zw==">CgMxLjA4AHIhMW16YVNxS0VZYTNlbHpYaXFiTGEwcDh3clZ1TWFaR0NP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